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B7FB" w14:textId="685B619D" w:rsidR="006F3905" w:rsidRPr="004C1452" w:rsidRDefault="006F3905" w:rsidP="006F3905">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8bis</w:t>
      </w:r>
      <w:r w:rsidRPr="007F3232">
        <w:rPr>
          <w:rFonts w:ascii="Arial" w:hAnsi="Arial" w:cs="Arial"/>
          <w:b/>
          <w:color w:val="FF0000"/>
          <w:sz w:val="24"/>
          <w:szCs w:val="28"/>
        </w:rPr>
        <w:t xml:space="preserve"> </w:t>
      </w:r>
      <w:r w:rsidRPr="004C1452">
        <w:rPr>
          <w:rFonts w:ascii="Arial" w:hAnsi="Arial" w:cs="Arial"/>
          <w:b/>
          <w:sz w:val="24"/>
          <w:szCs w:val="28"/>
        </w:rPr>
        <w:tab/>
      </w:r>
      <w:r w:rsidR="002F42BD" w:rsidRPr="002F42BD">
        <w:rPr>
          <w:rFonts w:ascii="Arial" w:hAnsi="Arial" w:cs="Arial"/>
          <w:b/>
          <w:sz w:val="24"/>
          <w:szCs w:val="28"/>
        </w:rPr>
        <w:t>R4-2315902</w:t>
      </w:r>
    </w:p>
    <w:p w14:paraId="3096F70C" w14:textId="77777777" w:rsidR="006F3905" w:rsidRPr="00A83A85" w:rsidRDefault="006F3905" w:rsidP="006F3905">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p w14:paraId="5DD118D4" w14:textId="7FA49FFE"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AF2914">
        <w:rPr>
          <w:rFonts w:ascii="Arial" w:hAnsi="Arial" w:cs="Arial"/>
          <w:bCs/>
          <w:sz w:val="22"/>
          <w:szCs w:val="22"/>
          <w:lang w:val="en-GB"/>
        </w:rPr>
        <w:t>5</w:t>
      </w:r>
      <w:r w:rsidR="004338BA" w:rsidRPr="00856057">
        <w:rPr>
          <w:rFonts w:ascii="Arial" w:hAnsi="Arial" w:cs="Arial"/>
          <w:bCs/>
          <w:sz w:val="22"/>
          <w:szCs w:val="22"/>
          <w:lang w:val="en-GB"/>
        </w:rPr>
        <w:t>.</w:t>
      </w:r>
      <w:r w:rsidR="000D5296">
        <w:rPr>
          <w:rFonts w:ascii="Arial" w:hAnsi="Arial" w:cs="Arial"/>
          <w:bCs/>
          <w:sz w:val="22"/>
          <w:szCs w:val="22"/>
          <w:lang w:val="en-GB"/>
        </w:rPr>
        <w:t>7</w:t>
      </w:r>
      <w:r w:rsidR="004338BA" w:rsidRPr="00856057">
        <w:rPr>
          <w:rFonts w:ascii="Arial" w:hAnsi="Arial" w:cs="Arial"/>
          <w:bCs/>
          <w:sz w:val="22"/>
          <w:szCs w:val="22"/>
          <w:lang w:val="en-GB"/>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2CF3CCC"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D24230C" w14:textId="45D22E9B" w:rsidR="004017DC" w:rsidRPr="00D2201E" w:rsidRDefault="004017DC" w:rsidP="00B6782F">
      <w:pPr>
        <w:jc w:val="both"/>
        <w:rPr>
          <w:sz w:val="22"/>
          <w:szCs w:val="22"/>
          <w:lang w:val="en-GB" w:eastAsia="x-none"/>
        </w:rPr>
      </w:pPr>
      <w:r w:rsidRPr="00D2201E">
        <w:rPr>
          <w:sz w:val="22"/>
          <w:szCs w:val="22"/>
          <w:lang w:val="en-GB" w:eastAsia="x-none"/>
        </w:rPr>
        <w:t>From RAN4#108bis</w:t>
      </w:r>
      <w:r w:rsidR="00BA365B" w:rsidRPr="00D2201E">
        <w:rPr>
          <w:sz w:val="22"/>
          <w:szCs w:val="22"/>
          <w:lang w:val="en-GB" w:eastAsia="x-none"/>
        </w:rPr>
        <w:t>, RAN4 will start discussion on the performance part of the multi-rx chain WI</w:t>
      </w:r>
      <w:r w:rsidR="00FF5767" w:rsidRPr="00D2201E">
        <w:rPr>
          <w:sz w:val="22"/>
          <w:szCs w:val="22"/>
          <w:lang w:val="en-GB" w:eastAsia="x-none"/>
        </w:rPr>
        <w:t>, covering:</w:t>
      </w:r>
    </w:p>
    <w:p w14:paraId="220246E7" w14:textId="4BC15B90" w:rsidR="00FF5767" w:rsidRPr="00D2201E" w:rsidRDefault="00FF5767" w:rsidP="00B6782F">
      <w:pPr>
        <w:pStyle w:val="ListParagraph"/>
        <w:numPr>
          <w:ilvl w:val="0"/>
          <w:numId w:val="28"/>
        </w:numPr>
        <w:jc w:val="both"/>
        <w:rPr>
          <w:sz w:val="22"/>
          <w:szCs w:val="22"/>
          <w:lang w:val="en-GB"/>
        </w:rPr>
      </w:pPr>
      <w:r w:rsidRPr="00D2201E">
        <w:rPr>
          <w:sz w:val="22"/>
          <w:szCs w:val="22"/>
          <w:lang w:val="en-GB"/>
        </w:rPr>
        <w:t>Performance requirements,</w:t>
      </w:r>
    </w:p>
    <w:p w14:paraId="63C305C6" w14:textId="7F53A08F" w:rsidR="00FF5767" w:rsidRDefault="00FF5767" w:rsidP="00B6782F">
      <w:pPr>
        <w:pStyle w:val="ListParagraph"/>
        <w:numPr>
          <w:ilvl w:val="0"/>
          <w:numId w:val="28"/>
        </w:numPr>
        <w:jc w:val="both"/>
        <w:rPr>
          <w:sz w:val="22"/>
          <w:szCs w:val="22"/>
          <w:lang w:val="en-GB"/>
        </w:rPr>
      </w:pPr>
      <w:r w:rsidRPr="00D2201E">
        <w:rPr>
          <w:sz w:val="22"/>
          <w:szCs w:val="22"/>
          <w:lang w:val="en-GB"/>
        </w:rPr>
        <w:t>Test cases.</w:t>
      </w:r>
    </w:p>
    <w:p w14:paraId="43D7CE4A" w14:textId="0EE90C52" w:rsidR="00331D00" w:rsidRPr="00331D00" w:rsidRDefault="00B6782F" w:rsidP="00B6782F">
      <w:pPr>
        <w:jc w:val="both"/>
        <w:rPr>
          <w:sz w:val="22"/>
          <w:szCs w:val="22"/>
          <w:lang w:val="en-GB"/>
        </w:rPr>
      </w:pPr>
      <w:r>
        <w:rPr>
          <w:sz w:val="22"/>
          <w:szCs w:val="22"/>
          <w:lang w:val="en-GB"/>
        </w:rPr>
        <w:t>However, e</w:t>
      </w:r>
      <w:r w:rsidR="00331D00" w:rsidRPr="00331D00">
        <w:rPr>
          <w:sz w:val="22"/>
          <w:szCs w:val="22"/>
          <w:lang w:val="en-GB"/>
        </w:rPr>
        <w:t>arlier</w:t>
      </w:r>
      <w:r w:rsidR="00331D00">
        <w:rPr>
          <w:sz w:val="22"/>
          <w:szCs w:val="22"/>
          <w:lang w:val="en-GB"/>
        </w:rPr>
        <w:t xml:space="preserve"> during the core requirements discussion</w:t>
      </w:r>
      <w:r w:rsidR="00331D00" w:rsidRPr="00331D00">
        <w:rPr>
          <w:sz w:val="22"/>
          <w:szCs w:val="22"/>
          <w:lang w:val="en-GB"/>
        </w:rPr>
        <w:t xml:space="preserve">, RAN4 has made some high-level </w:t>
      </w:r>
      <w:r>
        <w:rPr>
          <w:sz w:val="22"/>
          <w:szCs w:val="22"/>
          <w:lang w:val="en-GB"/>
        </w:rPr>
        <w:t>agreements related to the performance part:</w:t>
      </w:r>
    </w:p>
    <w:p w14:paraId="61F341DB" w14:textId="77777777" w:rsidR="007132CC" w:rsidRPr="00536890" w:rsidRDefault="007132CC" w:rsidP="007132CC">
      <w:pPr>
        <w:overflowPunct w:val="0"/>
        <w:autoSpaceDE w:val="0"/>
        <w:autoSpaceDN w:val="0"/>
        <w:adjustRightInd w:val="0"/>
        <w:spacing w:after="0"/>
        <w:textAlignment w:val="baseline"/>
        <w:rPr>
          <w:b/>
          <w:bCs/>
          <w:color w:val="0070C0"/>
          <w:sz w:val="22"/>
          <w:szCs w:val="22"/>
          <w:u w:val="single"/>
        </w:rPr>
      </w:pPr>
      <w:r w:rsidRPr="00536890">
        <w:rPr>
          <w:b/>
          <w:bCs/>
          <w:color w:val="0070C0"/>
          <w:sz w:val="22"/>
          <w:szCs w:val="22"/>
          <w:u w:val="single"/>
        </w:rPr>
        <w:t>RAN4#104bis-e</w:t>
      </w:r>
    </w:p>
    <w:p w14:paraId="4C3254C3" w14:textId="6770675D" w:rsidR="007132CC" w:rsidRPr="00D748EF" w:rsidRDefault="007132CC" w:rsidP="00D756EB">
      <w:pPr>
        <w:pStyle w:val="ListParagraph"/>
        <w:numPr>
          <w:ilvl w:val="0"/>
          <w:numId w:val="11"/>
        </w:numPr>
        <w:spacing w:after="120" w:line="259" w:lineRule="auto"/>
        <w:contextualSpacing w:val="0"/>
        <w:jc w:val="both"/>
        <w:rPr>
          <w:i/>
          <w:iCs/>
          <w:color w:val="0070C0"/>
          <w:lang w:eastAsia="zh-CN"/>
        </w:rPr>
      </w:pPr>
      <w:r w:rsidRPr="00D748EF">
        <w:rPr>
          <w:i/>
          <w:iCs/>
          <w:color w:val="0070C0"/>
          <w:szCs w:val="24"/>
          <w:lang w:eastAsia="zh-CN"/>
        </w:rPr>
        <w:t>Enhanced RRM requirements for multi-Rx ch</w:t>
      </w:r>
      <w:r w:rsidRPr="00D748EF">
        <w:rPr>
          <w:i/>
          <w:iCs/>
          <w:color w:val="4472C4" w:themeColor="accent1"/>
          <w:szCs w:val="24"/>
          <w:lang w:eastAsia="zh-CN"/>
        </w:rPr>
        <w:t>ain UE should maintain the existing accuracy requirements.</w:t>
      </w:r>
      <w:r w:rsidRPr="00D748EF">
        <w:rPr>
          <w:i/>
          <w:iCs/>
          <w:color w:val="4472C4" w:themeColor="accent1"/>
          <w:szCs w:val="24"/>
          <w:lang w:val="en-GB" w:eastAsia="zh-CN"/>
        </w:rPr>
        <w:t xml:space="preserve"> [</w:t>
      </w:r>
      <w:r w:rsidR="00D748EF" w:rsidRPr="00D748EF">
        <w:rPr>
          <w:i/>
          <w:iCs/>
          <w:color w:val="4472C4" w:themeColor="accent1"/>
          <w:szCs w:val="24"/>
          <w:lang w:val="en-GB" w:eastAsia="zh-CN"/>
        </w:rPr>
        <w:t>R4-2217246</w:t>
      </w:r>
      <w:r w:rsidRPr="00D748EF">
        <w:rPr>
          <w:i/>
          <w:iCs/>
          <w:color w:val="4472C4" w:themeColor="accent1"/>
          <w:szCs w:val="24"/>
          <w:lang w:val="en-GB" w:eastAsia="zh-CN"/>
        </w:rPr>
        <w:t>]</w:t>
      </w:r>
    </w:p>
    <w:p w14:paraId="41EA8D63" w14:textId="38BA498E" w:rsidR="007132CC" w:rsidRPr="00C81566" w:rsidRDefault="007132CC" w:rsidP="00D756EB">
      <w:pPr>
        <w:pStyle w:val="ListParagraph"/>
        <w:numPr>
          <w:ilvl w:val="0"/>
          <w:numId w:val="11"/>
        </w:numPr>
        <w:spacing w:after="120" w:line="259" w:lineRule="auto"/>
        <w:contextualSpacing w:val="0"/>
        <w:jc w:val="both"/>
        <w:rPr>
          <w:i/>
          <w:iCs/>
          <w:color w:val="0070C0"/>
          <w:lang w:eastAsia="zh-CN"/>
        </w:rPr>
      </w:pPr>
      <w:r w:rsidRPr="00536890">
        <w:rPr>
          <w:i/>
          <w:iCs/>
          <w:color w:val="0070C0"/>
          <w:lang w:eastAsia="zh-CN"/>
        </w:rPr>
        <w:t>L1</w:t>
      </w:r>
      <w:r w:rsidRPr="00536890">
        <w:rPr>
          <w:i/>
          <w:iCs/>
          <w:color w:val="0070C0"/>
          <w:lang w:val="en-GB" w:eastAsia="zh-CN"/>
        </w:rPr>
        <w:t>-</w:t>
      </w:r>
      <w:r w:rsidRPr="00536890">
        <w:rPr>
          <w:i/>
          <w:iCs/>
          <w:color w:val="0070C0"/>
          <w:lang w:eastAsia="zh-CN"/>
        </w:rPr>
        <w:t>RSRP/SINR Measurements:</w:t>
      </w:r>
      <w:r w:rsidRPr="00536890">
        <w:rPr>
          <w:i/>
          <w:iCs/>
          <w:color w:val="0070C0"/>
          <w:lang w:val="en-GB" w:eastAsia="zh-CN"/>
        </w:rPr>
        <w:t xml:space="preserve"> </w:t>
      </w:r>
      <w:r w:rsidRPr="00536890">
        <w:rPr>
          <w:i/>
          <w:iCs/>
          <w:color w:val="0070C0"/>
          <w:lang w:eastAsia="zh-CN"/>
        </w:rPr>
        <w:t>The number of samples assumed to define the accuracy requirements should not be changed.</w:t>
      </w:r>
      <w:r w:rsidRPr="00536890">
        <w:rPr>
          <w:i/>
          <w:iCs/>
          <w:color w:val="0070C0"/>
          <w:lang w:val="en-GB" w:eastAsia="zh-CN"/>
        </w:rPr>
        <w:t xml:space="preserve"> [</w:t>
      </w:r>
      <w:r w:rsidR="00D748EF" w:rsidRPr="00D748EF">
        <w:rPr>
          <w:i/>
          <w:iCs/>
          <w:color w:val="0070C0"/>
          <w:lang w:val="en-GB" w:eastAsia="zh-CN"/>
        </w:rPr>
        <w:t>R4-2217587</w:t>
      </w:r>
      <w:r w:rsidRPr="00536890">
        <w:rPr>
          <w:i/>
          <w:iCs/>
          <w:color w:val="0070C0"/>
          <w:lang w:val="en-GB" w:eastAsia="zh-CN"/>
        </w:rPr>
        <w:t>]</w:t>
      </w:r>
    </w:p>
    <w:p w14:paraId="46B976F3" w14:textId="77777777" w:rsidR="004E1614" w:rsidRPr="002E3092" w:rsidRDefault="00A17509" w:rsidP="004E1614">
      <w:pPr>
        <w:pStyle w:val="Heading1"/>
        <w:ind w:right="72"/>
        <w:rPr>
          <w:lang w:val="sv-SE"/>
        </w:rPr>
      </w:pPr>
      <w:r w:rsidRPr="002E3092">
        <w:rPr>
          <w:lang w:val="sv-SE"/>
        </w:rPr>
        <w:t>Discussion</w:t>
      </w:r>
    </w:p>
    <w:p w14:paraId="63B024A9" w14:textId="3B4B6E42" w:rsidR="00C4674F" w:rsidRDefault="00C4674F" w:rsidP="00B17CE8">
      <w:pPr>
        <w:pStyle w:val="Heading2"/>
        <w:jc w:val="both"/>
        <w:rPr>
          <w:lang w:val="en-GB"/>
        </w:rPr>
      </w:pPr>
      <w:r w:rsidRPr="00E253F1">
        <w:rPr>
          <w:lang w:val="en-GB"/>
        </w:rPr>
        <w:t xml:space="preserve">RRM </w:t>
      </w:r>
      <w:r w:rsidR="006746FC" w:rsidRPr="00E253F1">
        <w:rPr>
          <w:lang w:val="en-GB"/>
        </w:rPr>
        <w:t>performance requirements</w:t>
      </w:r>
    </w:p>
    <w:p w14:paraId="65768193" w14:textId="2F249898" w:rsidR="00830D24" w:rsidRPr="00830D24" w:rsidRDefault="00591D5C" w:rsidP="00BD5BD2">
      <w:pPr>
        <w:jc w:val="both"/>
        <w:rPr>
          <w:sz w:val="22"/>
          <w:szCs w:val="22"/>
          <w:lang w:val="en-GB" w:eastAsia="x-none"/>
        </w:rPr>
      </w:pPr>
      <w:r>
        <w:rPr>
          <w:sz w:val="22"/>
          <w:szCs w:val="22"/>
          <w:lang w:val="en-GB" w:eastAsia="x-none"/>
        </w:rPr>
        <w:t xml:space="preserve">Based on the earlier </w:t>
      </w:r>
      <w:r w:rsidR="000A3684">
        <w:rPr>
          <w:sz w:val="22"/>
          <w:szCs w:val="22"/>
          <w:lang w:val="en-GB" w:eastAsia="x-none"/>
        </w:rPr>
        <w:t xml:space="preserve">RAN4 </w:t>
      </w:r>
      <w:r>
        <w:rPr>
          <w:sz w:val="22"/>
          <w:szCs w:val="22"/>
          <w:lang w:val="en-GB" w:eastAsia="x-none"/>
        </w:rPr>
        <w:t>agreements in [3,4]</w:t>
      </w:r>
      <w:r w:rsidR="000A3684">
        <w:rPr>
          <w:sz w:val="22"/>
          <w:szCs w:val="22"/>
          <w:lang w:val="en-GB" w:eastAsia="x-none"/>
        </w:rPr>
        <w:t xml:space="preserve">, the </w:t>
      </w:r>
      <w:r w:rsidR="00867F36">
        <w:rPr>
          <w:sz w:val="22"/>
          <w:szCs w:val="22"/>
          <w:lang w:val="en-GB" w:eastAsia="x-none"/>
        </w:rPr>
        <w:t>legacy</w:t>
      </w:r>
      <w:r w:rsidR="000A3684">
        <w:rPr>
          <w:sz w:val="22"/>
          <w:szCs w:val="22"/>
          <w:lang w:val="en-GB" w:eastAsia="x-none"/>
        </w:rPr>
        <w:t xml:space="preserve"> accuracy requirements shall </w:t>
      </w:r>
      <w:r w:rsidR="008B7DC7">
        <w:rPr>
          <w:sz w:val="22"/>
          <w:szCs w:val="22"/>
          <w:lang w:val="en-GB" w:eastAsia="x-none"/>
        </w:rPr>
        <w:t>apply fo</w:t>
      </w:r>
      <w:r w:rsidR="00867F36">
        <w:rPr>
          <w:sz w:val="22"/>
          <w:szCs w:val="22"/>
          <w:lang w:val="en-GB" w:eastAsia="x-none"/>
        </w:rPr>
        <w:t>r multi-rx chain operation</w:t>
      </w:r>
      <w:r w:rsidR="00EB7501">
        <w:rPr>
          <w:sz w:val="22"/>
          <w:szCs w:val="22"/>
          <w:lang w:val="en-GB" w:eastAsia="x-none"/>
        </w:rPr>
        <w:t xml:space="preserve">, which </w:t>
      </w:r>
      <w:r w:rsidR="00E0310A">
        <w:rPr>
          <w:sz w:val="22"/>
          <w:szCs w:val="22"/>
          <w:lang w:val="en-GB" w:eastAsia="x-none"/>
        </w:rPr>
        <w:t>also suggests no need for any new accuracy requirements section for L1-RSRP</w:t>
      </w:r>
      <w:r w:rsidR="00867F36">
        <w:rPr>
          <w:sz w:val="22"/>
          <w:szCs w:val="22"/>
          <w:lang w:val="en-GB" w:eastAsia="x-none"/>
        </w:rPr>
        <w:t>.</w:t>
      </w:r>
      <w:r w:rsidR="00750917">
        <w:rPr>
          <w:sz w:val="22"/>
          <w:szCs w:val="22"/>
          <w:lang w:val="en-GB" w:eastAsia="x-none"/>
        </w:rPr>
        <w:t xml:space="preserve"> However, </w:t>
      </w:r>
      <w:r w:rsidR="00096EA5">
        <w:rPr>
          <w:sz w:val="22"/>
          <w:szCs w:val="22"/>
          <w:lang w:val="en-GB" w:eastAsia="x-none"/>
        </w:rPr>
        <w:t xml:space="preserve">it shall be clarified </w:t>
      </w:r>
      <w:r w:rsidR="005E1E70">
        <w:rPr>
          <w:sz w:val="22"/>
          <w:szCs w:val="22"/>
          <w:lang w:val="en-GB" w:eastAsia="x-none"/>
        </w:rPr>
        <w:t xml:space="preserve">that the requirements apply for </w:t>
      </w:r>
      <w:r w:rsidR="00EB7501">
        <w:rPr>
          <w:sz w:val="22"/>
          <w:szCs w:val="22"/>
          <w:lang w:val="en-GB" w:eastAsia="x-none"/>
        </w:rPr>
        <w:t>FR2-1.</w:t>
      </w:r>
    </w:p>
    <w:p w14:paraId="41E8DCCB" w14:textId="2938384E" w:rsidR="00752B3C" w:rsidRPr="00DF4BB9" w:rsidRDefault="009E6785" w:rsidP="00BD5BD2">
      <w:pPr>
        <w:pStyle w:val="ListParagraph"/>
        <w:numPr>
          <w:ilvl w:val="0"/>
          <w:numId w:val="11"/>
        </w:numPr>
        <w:jc w:val="both"/>
        <w:rPr>
          <w:i/>
          <w:iCs/>
          <w:sz w:val="22"/>
          <w:szCs w:val="22"/>
        </w:rPr>
      </w:pPr>
      <w:r w:rsidRPr="00BD5BD2">
        <w:rPr>
          <w:b/>
          <w:bCs/>
          <w:i/>
          <w:iCs/>
          <w:sz w:val="22"/>
          <w:szCs w:val="22"/>
          <w:u w:val="single"/>
          <w:lang w:val="en-GB"/>
        </w:rPr>
        <w:t>Proposal 1</w:t>
      </w:r>
      <w:r w:rsidR="00FA4FDB">
        <w:rPr>
          <w:b/>
          <w:bCs/>
          <w:i/>
          <w:iCs/>
          <w:sz w:val="22"/>
          <w:szCs w:val="22"/>
          <w:u w:val="single"/>
          <w:lang w:val="en-GB"/>
        </w:rPr>
        <w:t xml:space="preserve"> (</w:t>
      </w:r>
      <w:r w:rsidR="00C11FCD">
        <w:rPr>
          <w:b/>
          <w:bCs/>
          <w:i/>
          <w:iCs/>
          <w:sz w:val="22"/>
          <w:szCs w:val="22"/>
          <w:u w:val="single"/>
          <w:lang w:val="en-GB"/>
        </w:rPr>
        <w:t>Accuracy requirements</w:t>
      </w:r>
      <w:r w:rsidR="00FA4FDB">
        <w:rPr>
          <w:b/>
          <w:bCs/>
          <w:i/>
          <w:iCs/>
          <w:sz w:val="22"/>
          <w:szCs w:val="22"/>
          <w:u w:val="single"/>
          <w:lang w:val="en-GB"/>
        </w:rPr>
        <w:t>)</w:t>
      </w:r>
      <w:r w:rsidRPr="00BD5BD2">
        <w:rPr>
          <w:i/>
          <w:iCs/>
          <w:sz w:val="22"/>
          <w:szCs w:val="22"/>
          <w:lang w:val="en-GB"/>
        </w:rPr>
        <w:t xml:space="preserve">: </w:t>
      </w:r>
      <w:r w:rsidR="00BB2D38" w:rsidRPr="00BD5BD2">
        <w:rPr>
          <w:i/>
          <w:iCs/>
          <w:sz w:val="22"/>
          <w:szCs w:val="22"/>
          <w:lang w:val="en-GB"/>
        </w:rPr>
        <w:t xml:space="preserve">The legacy </w:t>
      </w:r>
      <w:r w:rsidR="00ED664E" w:rsidRPr="00BD5BD2">
        <w:rPr>
          <w:i/>
          <w:iCs/>
          <w:sz w:val="22"/>
          <w:szCs w:val="22"/>
          <w:lang w:val="en-GB"/>
        </w:rPr>
        <w:t xml:space="preserve">accuracy </w:t>
      </w:r>
      <w:r w:rsidR="00BB2D38" w:rsidRPr="00BD5BD2">
        <w:rPr>
          <w:i/>
          <w:iCs/>
          <w:sz w:val="22"/>
          <w:szCs w:val="22"/>
          <w:lang w:val="en-GB"/>
        </w:rPr>
        <w:t xml:space="preserve">requirements </w:t>
      </w:r>
      <w:r w:rsidR="00ED664E" w:rsidRPr="00BD5BD2">
        <w:rPr>
          <w:i/>
          <w:iCs/>
          <w:sz w:val="22"/>
          <w:szCs w:val="22"/>
          <w:lang w:val="en-GB"/>
        </w:rPr>
        <w:t>in section 10.1.20</w:t>
      </w:r>
      <w:r w:rsidR="00DF4BB9">
        <w:rPr>
          <w:i/>
          <w:iCs/>
          <w:sz w:val="22"/>
          <w:szCs w:val="22"/>
          <w:lang w:val="en-GB"/>
        </w:rPr>
        <w:t xml:space="preserve"> of TS 38.133</w:t>
      </w:r>
      <w:r w:rsidR="00ED664E" w:rsidRPr="00BD5BD2">
        <w:rPr>
          <w:i/>
          <w:iCs/>
          <w:sz w:val="22"/>
          <w:szCs w:val="22"/>
          <w:lang w:val="en-GB"/>
        </w:rPr>
        <w:t xml:space="preserve"> apply for L1-RSRP </w:t>
      </w:r>
      <w:r w:rsidR="00F532ED" w:rsidRPr="00BD5BD2">
        <w:rPr>
          <w:i/>
          <w:iCs/>
          <w:sz w:val="22"/>
          <w:szCs w:val="22"/>
          <w:lang w:val="en-GB"/>
        </w:rPr>
        <w:t xml:space="preserve">measurements </w:t>
      </w:r>
      <w:r w:rsidR="00ED664E" w:rsidRPr="00BD5BD2">
        <w:rPr>
          <w:i/>
          <w:iCs/>
          <w:sz w:val="22"/>
          <w:szCs w:val="22"/>
          <w:lang w:val="en-GB"/>
        </w:rPr>
        <w:t>under multi-rx operation</w:t>
      </w:r>
      <w:r w:rsidR="00A17A93" w:rsidRPr="00BD5BD2">
        <w:rPr>
          <w:i/>
          <w:iCs/>
          <w:sz w:val="22"/>
          <w:szCs w:val="22"/>
          <w:lang w:val="en-GB"/>
        </w:rPr>
        <w:t xml:space="preserve">, with a clarification that </w:t>
      </w:r>
      <w:r w:rsidR="009972B8" w:rsidRPr="00BD5BD2">
        <w:rPr>
          <w:i/>
          <w:iCs/>
          <w:sz w:val="22"/>
          <w:szCs w:val="22"/>
          <w:lang w:val="en-GB"/>
        </w:rPr>
        <w:t xml:space="preserve">multi-rx chain L1-RSRP </w:t>
      </w:r>
      <w:r w:rsidR="006D0830" w:rsidRPr="00BD5BD2">
        <w:rPr>
          <w:i/>
          <w:iCs/>
          <w:sz w:val="22"/>
          <w:szCs w:val="22"/>
          <w:lang w:val="en-GB"/>
        </w:rPr>
        <w:t>accuracy requirements apply for FR2-1.</w:t>
      </w:r>
    </w:p>
    <w:p w14:paraId="71BADB26" w14:textId="77777777" w:rsidR="00DF4BB9" w:rsidRPr="00BD5BD2" w:rsidRDefault="00DF4BB9" w:rsidP="00DF4BB9">
      <w:pPr>
        <w:pStyle w:val="ListParagraph"/>
        <w:ind w:left="644"/>
        <w:jc w:val="both"/>
        <w:rPr>
          <w:i/>
          <w:iCs/>
          <w:sz w:val="22"/>
          <w:szCs w:val="22"/>
        </w:rPr>
      </w:pPr>
    </w:p>
    <w:p w14:paraId="59572414" w14:textId="3B29EA39" w:rsidR="00C4674F" w:rsidRPr="00BD5BD2" w:rsidRDefault="00ED664E" w:rsidP="00BD5BD2">
      <w:pPr>
        <w:pStyle w:val="ListParagraph"/>
        <w:numPr>
          <w:ilvl w:val="0"/>
          <w:numId w:val="11"/>
        </w:numPr>
        <w:jc w:val="both"/>
        <w:rPr>
          <w:i/>
          <w:iCs/>
          <w:sz w:val="22"/>
          <w:szCs w:val="22"/>
        </w:rPr>
      </w:pPr>
      <w:r w:rsidRPr="00BD5BD2">
        <w:rPr>
          <w:b/>
          <w:bCs/>
          <w:i/>
          <w:iCs/>
          <w:sz w:val="22"/>
          <w:szCs w:val="22"/>
          <w:u w:val="single"/>
          <w:lang w:val="en-GB"/>
        </w:rPr>
        <w:t>Proposal 2</w:t>
      </w:r>
      <w:r w:rsidR="00C11FCD">
        <w:rPr>
          <w:b/>
          <w:bCs/>
          <w:i/>
          <w:iCs/>
          <w:sz w:val="22"/>
          <w:szCs w:val="22"/>
          <w:u w:val="single"/>
          <w:lang w:val="en-GB"/>
        </w:rPr>
        <w:t xml:space="preserve"> (Accuracy requirements)</w:t>
      </w:r>
      <w:r w:rsidRPr="00BD5BD2">
        <w:rPr>
          <w:i/>
          <w:iCs/>
          <w:sz w:val="22"/>
          <w:szCs w:val="22"/>
          <w:lang w:val="en-GB"/>
        </w:rPr>
        <w:t xml:space="preserve">: </w:t>
      </w:r>
      <w:r w:rsidR="009E6785" w:rsidRPr="00BD5BD2">
        <w:rPr>
          <w:i/>
          <w:iCs/>
          <w:sz w:val="22"/>
          <w:szCs w:val="22"/>
          <w:lang w:val="en-GB"/>
        </w:rPr>
        <w:t xml:space="preserve">No new accuracy requirements section is created for </w:t>
      </w:r>
      <w:r w:rsidR="00752B3C" w:rsidRPr="00BD5BD2">
        <w:rPr>
          <w:i/>
          <w:iCs/>
          <w:sz w:val="22"/>
          <w:szCs w:val="22"/>
          <w:lang w:val="en-GB"/>
        </w:rPr>
        <w:t>L1-RSRP measurements under multi-rx operation.</w:t>
      </w:r>
    </w:p>
    <w:p w14:paraId="277A5A25" w14:textId="17C5C9B3" w:rsidR="00655068" w:rsidRPr="00E253F1" w:rsidRDefault="00C4674F" w:rsidP="00B17CE8">
      <w:pPr>
        <w:pStyle w:val="Heading2"/>
        <w:jc w:val="both"/>
        <w:rPr>
          <w:lang w:val="en-GB"/>
        </w:rPr>
      </w:pPr>
      <w:r w:rsidRPr="00E253F1">
        <w:rPr>
          <w:lang w:val="en-GB"/>
        </w:rPr>
        <w:t>RRM t</w:t>
      </w:r>
      <w:r w:rsidR="00655068" w:rsidRPr="00E253F1">
        <w:rPr>
          <w:lang w:val="en-GB"/>
        </w:rPr>
        <w:t>est cases</w:t>
      </w:r>
    </w:p>
    <w:p w14:paraId="7151CE82" w14:textId="477EDFE5" w:rsidR="004D2D77" w:rsidRPr="00E253F1" w:rsidRDefault="000F6DE0" w:rsidP="000F6DE0">
      <w:pPr>
        <w:rPr>
          <w:sz w:val="22"/>
          <w:szCs w:val="22"/>
          <w:lang w:val="en-GB" w:eastAsia="x-none"/>
        </w:rPr>
      </w:pPr>
      <w:r w:rsidRPr="00E253F1">
        <w:rPr>
          <w:sz w:val="22"/>
          <w:szCs w:val="22"/>
          <w:lang w:val="en-GB" w:eastAsia="x-none"/>
        </w:rPr>
        <w:t>RAN4 cannot start develop</w:t>
      </w:r>
      <w:r w:rsidR="004D2D77" w:rsidRPr="00E253F1">
        <w:rPr>
          <w:sz w:val="22"/>
          <w:szCs w:val="22"/>
          <w:lang w:val="en-GB" w:eastAsia="x-none"/>
        </w:rPr>
        <w:t>ing</w:t>
      </w:r>
      <w:r w:rsidRPr="00E253F1">
        <w:rPr>
          <w:sz w:val="22"/>
          <w:szCs w:val="22"/>
          <w:lang w:val="en-GB" w:eastAsia="x-none"/>
        </w:rPr>
        <w:t xml:space="preserve"> </w:t>
      </w:r>
      <w:r w:rsidR="005267F0" w:rsidRPr="00E253F1">
        <w:rPr>
          <w:sz w:val="22"/>
          <w:szCs w:val="22"/>
          <w:lang w:val="en-GB" w:eastAsia="x-none"/>
        </w:rPr>
        <w:t xml:space="preserve">specific </w:t>
      </w:r>
      <w:r w:rsidR="004D2D77" w:rsidRPr="00E253F1">
        <w:rPr>
          <w:sz w:val="22"/>
          <w:szCs w:val="22"/>
          <w:lang w:val="en-GB" w:eastAsia="x-none"/>
        </w:rPr>
        <w:t>test cases for multi-rx chain UEs</w:t>
      </w:r>
      <w:r w:rsidR="00222447" w:rsidRPr="00E253F1">
        <w:rPr>
          <w:sz w:val="22"/>
          <w:szCs w:val="22"/>
          <w:lang w:val="en-GB" w:eastAsia="x-none"/>
        </w:rPr>
        <w:t xml:space="preserve"> until the requirements are complete, but </w:t>
      </w:r>
      <w:r w:rsidR="00FF400E" w:rsidRPr="00E253F1">
        <w:rPr>
          <w:sz w:val="22"/>
          <w:szCs w:val="22"/>
          <w:lang w:val="en-GB" w:eastAsia="x-none"/>
        </w:rPr>
        <w:t xml:space="preserve">RAN4 </w:t>
      </w:r>
      <w:r w:rsidR="00815562" w:rsidRPr="00E253F1">
        <w:rPr>
          <w:sz w:val="22"/>
          <w:szCs w:val="22"/>
          <w:lang w:val="en-GB" w:eastAsia="x-none"/>
        </w:rPr>
        <w:t>can already</w:t>
      </w:r>
      <w:r w:rsidR="00FF400E" w:rsidRPr="00E253F1">
        <w:rPr>
          <w:sz w:val="22"/>
          <w:szCs w:val="22"/>
          <w:lang w:val="en-GB" w:eastAsia="x-none"/>
        </w:rPr>
        <w:t xml:space="preserve"> start discussing </w:t>
      </w:r>
      <w:r w:rsidR="00E74AC9" w:rsidRPr="00E253F1">
        <w:rPr>
          <w:sz w:val="22"/>
          <w:szCs w:val="22"/>
          <w:lang w:val="en-GB" w:eastAsia="x-none"/>
        </w:rPr>
        <w:t xml:space="preserve">a list of test cases </w:t>
      </w:r>
      <w:r w:rsidR="00FF400E" w:rsidRPr="00E253F1">
        <w:rPr>
          <w:sz w:val="22"/>
          <w:szCs w:val="22"/>
          <w:lang w:val="en-GB" w:eastAsia="x-none"/>
        </w:rPr>
        <w:t>to progress the performance part work.</w:t>
      </w:r>
    </w:p>
    <w:p w14:paraId="34EA461A" w14:textId="3E272D2B" w:rsidR="00815562" w:rsidRDefault="00420896" w:rsidP="00734B29">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C10E01">
        <w:rPr>
          <w:b/>
          <w:bCs/>
          <w:i/>
          <w:iCs/>
          <w:sz w:val="22"/>
          <w:szCs w:val="22"/>
          <w:u w:val="single"/>
          <w:lang w:val="en-GB"/>
        </w:rPr>
        <w:t>3</w:t>
      </w:r>
      <w:r w:rsidRPr="00E253F1">
        <w:rPr>
          <w:b/>
          <w:bCs/>
          <w:i/>
          <w:iCs/>
          <w:sz w:val="22"/>
          <w:szCs w:val="22"/>
          <w:u w:val="single"/>
          <w:lang w:val="en-GB"/>
        </w:rPr>
        <w:t xml:space="preserve"> (</w:t>
      </w:r>
      <w:r w:rsidR="00FA4FDB">
        <w:rPr>
          <w:b/>
          <w:bCs/>
          <w:i/>
          <w:iCs/>
          <w:sz w:val="22"/>
          <w:szCs w:val="22"/>
          <w:u w:val="single"/>
          <w:lang w:val="en-GB"/>
        </w:rPr>
        <w:t xml:space="preserve">RRM </w:t>
      </w:r>
      <w:r w:rsidR="00E61397" w:rsidRPr="00E253F1">
        <w:rPr>
          <w:b/>
          <w:bCs/>
          <w:i/>
          <w:iCs/>
          <w:sz w:val="22"/>
          <w:szCs w:val="22"/>
          <w:u w:val="single"/>
          <w:lang w:val="en-GB"/>
        </w:rPr>
        <w:t>test cases</w:t>
      </w:r>
      <w:r w:rsidRPr="00E253F1">
        <w:rPr>
          <w:b/>
          <w:bCs/>
          <w:i/>
          <w:iCs/>
          <w:sz w:val="22"/>
          <w:szCs w:val="22"/>
          <w:u w:val="single"/>
          <w:lang w:val="en-GB"/>
        </w:rPr>
        <w:t>)</w:t>
      </w:r>
      <w:r w:rsidRPr="00E253F1">
        <w:rPr>
          <w:i/>
          <w:iCs/>
          <w:sz w:val="22"/>
          <w:szCs w:val="22"/>
          <w:lang w:val="en-GB"/>
        </w:rPr>
        <w:t>:</w:t>
      </w:r>
      <w:r w:rsidR="00896052" w:rsidRPr="00E253F1">
        <w:rPr>
          <w:i/>
          <w:iCs/>
          <w:sz w:val="22"/>
          <w:szCs w:val="22"/>
          <w:lang w:val="en-GB"/>
        </w:rPr>
        <w:t xml:space="preserve"> </w:t>
      </w:r>
      <w:r w:rsidR="00815562" w:rsidRPr="00E253F1">
        <w:rPr>
          <w:i/>
          <w:iCs/>
          <w:sz w:val="22"/>
          <w:szCs w:val="22"/>
          <w:lang w:val="en-GB"/>
        </w:rPr>
        <w:t xml:space="preserve">RAN4 </w:t>
      </w:r>
      <w:r w:rsidR="00340F48" w:rsidRPr="00E253F1">
        <w:rPr>
          <w:i/>
          <w:iCs/>
          <w:sz w:val="22"/>
          <w:szCs w:val="22"/>
          <w:lang w:val="en-GB"/>
        </w:rPr>
        <w:t xml:space="preserve">will discuss and </w:t>
      </w:r>
      <w:r w:rsidR="00815562" w:rsidRPr="00E253F1">
        <w:rPr>
          <w:i/>
          <w:iCs/>
          <w:sz w:val="22"/>
          <w:szCs w:val="22"/>
          <w:lang w:val="en-GB"/>
        </w:rPr>
        <w:t xml:space="preserve">strive to agree on a list of </w:t>
      </w:r>
      <w:r w:rsidR="00C4674F" w:rsidRPr="00E253F1">
        <w:rPr>
          <w:i/>
          <w:iCs/>
          <w:sz w:val="22"/>
          <w:szCs w:val="22"/>
          <w:lang w:val="en-GB"/>
        </w:rPr>
        <w:t xml:space="preserve">RRM </w:t>
      </w:r>
      <w:r w:rsidR="00815562" w:rsidRPr="00E253F1">
        <w:rPr>
          <w:i/>
          <w:iCs/>
          <w:sz w:val="22"/>
          <w:szCs w:val="22"/>
          <w:lang w:val="en-GB"/>
        </w:rPr>
        <w:t xml:space="preserve">test cases for </w:t>
      </w:r>
      <w:r w:rsidR="0003173A" w:rsidRPr="00E253F1">
        <w:rPr>
          <w:i/>
          <w:iCs/>
          <w:sz w:val="22"/>
          <w:szCs w:val="22"/>
          <w:lang w:val="en-GB"/>
        </w:rPr>
        <w:t>multi-rx chain UE in RAN4#109.</w:t>
      </w:r>
    </w:p>
    <w:p w14:paraId="0860CA87" w14:textId="77777777" w:rsidR="00C10E01" w:rsidRDefault="00C10E01" w:rsidP="00C10E01">
      <w:pPr>
        <w:pStyle w:val="ListParagraph"/>
        <w:spacing w:after="0"/>
        <w:ind w:left="714"/>
        <w:contextualSpacing w:val="0"/>
        <w:jc w:val="both"/>
        <w:rPr>
          <w:i/>
          <w:iCs/>
          <w:sz w:val="22"/>
          <w:szCs w:val="22"/>
          <w:lang w:val="en-GB"/>
        </w:rPr>
      </w:pPr>
    </w:p>
    <w:p w14:paraId="5142E247" w14:textId="72D10C4C" w:rsidR="00F06431" w:rsidRDefault="00C10E01" w:rsidP="00C10E01">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4</w:t>
      </w:r>
      <w:r w:rsidRPr="00E253F1">
        <w:rPr>
          <w:b/>
          <w:bCs/>
          <w:i/>
          <w:iCs/>
          <w:sz w:val="22"/>
          <w:szCs w:val="22"/>
          <w:u w:val="single"/>
          <w:lang w:val="en-GB"/>
        </w:rPr>
        <w:t xml:space="preserve"> (</w:t>
      </w:r>
      <w:r w:rsidR="00FA4FDB">
        <w:rPr>
          <w:b/>
          <w:bCs/>
          <w:i/>
          <w:iCs/>
          <w:sz w:val="22"/>
          <w:szCs w:val="22"/>
          <w:u w:val="single"/>
          <w:lang w:val="en-GB"/>
        </w:rPr>
        <w:t xml:space="preserve">RRM </w:t>
      </w:r>
      <w:r w:rsidRPr="00E253F1">
        <w:rPr>
          <w:b/>
          <w:bCs/>
          <w:i/>
          <w:iCs/>
          <w:sz w:val="22"/>
          <w:szCs w:val="22"/>
          <w:u w:val="single"/>
          <w:lang w:val="en-GB"/>
        </w:rPr>
        <w:t>test cases)</w:t>
      </w:r>
      <w:r w:rsidRPr="00E253F1">
        <w:rPr>
          <w:i/>
          <w:iCs/>
          <w:sz w:val="22"/>
          <w:szCs w:val="22"/>
          <w:lang w:val="en-GB"/>
        </w:rPr>
        <w:t xml:space="preserve">: </w:t>
      </w:r>
      <w:r w:rsidR="00F06431">
        <w:rPr>
          <w:i/>
          <w:iCs/>
          <w:sz w:val="22"/>
          <w:szCs w:val="22"/>
          <w:lang w:val="en-GB"/>
        </w:rPr>
        <w:t>At high-level, the list of test cases shall include at least</w:t>
      </w:r>
      <w:r w:rsidR="009D681B">
        <w:rPr>
          <w:i/>
          <w:iCs/>
          <w:sz w:val="22"/>
          <w:szCs w:val="22"/>
          <w:lang w:val="en-GB"/>
        </w:rPr>
        <w:t xml:space="preserve"> test cases for</w:t>
      </w:r>
      <w:r w:rsidR="00F06431">
        <w:rPr>
          <w:i/>
          <w:iCs/>
          <w:sz w:val="22"/>
          <w:szCs w:val="22"/>
          <w:lang w:val="en-GB"/>
        </w:rPr>
        <w:t>:</w:t>
      </w:r>
    </w:p>
    <w:p w14:paraId="1716F998" w14:textId="6529221C" w:rsidR="00F06431" w:rsidRDefault="005247AE" w:rsidP="00F06431">
      <w:pPr>
        <w:pStyle w:val="ListParagraph"/>
        <w:numPr>
          <w:ilvl w:val="1"/>
          <w:numId w:val="13"/>
        </w:numPr>
        <w:spacing w:after="0"/>
        <w:contextualSpacing w:val="0"/>
        <w:jc w:val="both"/>
        <w:rPr>
          <w:i/>
          <w:iCs/>
          <w:sz w:val="22"/>
          <w:szCs w:val="22"/>
          <w:lang w:val="en-GB"/>
        </w:rPr>
      </w:pPr>
      <w:r>
        <w:rPr>
          <w:i/>
          <w:iCs/>
          <w:sz w:val="22"/>
          <w:szCs w:val="22"/>
          <w:lang w:val="en-GB"/>
        </w:rPr>
        <w:t>Dual active TCI state switching</w:t>
      </w:r>
      <w:r w:rsidR="00FA4FDB">
        <w:rPr>
          <w:i/>
          <w:iCs/>
          <w:sz w:val="22"/>
          <w:szCs w:val="22"/>
          <w:lang w:val="en-GB"/>
        </w:rPr>
        <w:t>,</w:t>
      </w:r>
    </w:p>
    <w:p w14:paraId="17F57EE9" w14:textId="2DE5D500" w:rsidR="005247AE" w:rsidRDefault="00981EB4" w:rsidP="00F06431">
      <w:pPr>
        <w:pStyle w:val="ListParagraph"/>
        <w:numPr>
          <w:ilvl w:val="1"/>
          <w:numId w:val="13"/>
        </w:numPr>
        <w:spacing w:after="0"/>
        <w:contextualSpacing w:val="0"/>
        <w:jc w:val="both"/>
        <w:rPr>
          <w:i/>
          <w:iCs/>
          <w:sz w:val="22"/>
          <w:szCs w:val="22"/>
          <w:lang w:val="en-GB"/>
        </w:rPr>
      </w:pPr>
      <w:r>
        <w:rPr>
          <w:i/>
          <w:iCs/>
          <w:sz w:val="22"/>
          <w:szCs w:val="22"/>
          <w:lang w:val="en-GB"/>
        </w:rPr>
        <w:t>RLM</w:t>
      </w:r>
      <w:r w:rsidR="00FA4FDB">
        <w:rPr>
          <w:i/>
          <w:iCs/>
          <w:sz w:val="22"/>
          <w:szCs w:val="22"/>
          <w:lang w:val="en-GB"/>
        </w:rPr>
        <w:t>,</w:t>
      </w:r>
    </w:p>
    <w:p w14:paraId="02425AD2" w14:textId="77777777" w:rsidR="009F0655" w:rsidRDefault="009F0655" w:rsidP="009F0655">
      <w:pPr>
        <w:pStyle w:val="ListParagraph"/>
        <w:numPr>
          <w:ilvl w:val="1"/>
          <w:numId w:val="13"/>
        </w:numPr>
        <w:spacing w:after="0"/>
        <w:contextualSpacing w:val="0"/>
        <w:jc w:val="both"/>
        <w:rPr>
          <w:i/>
          <w:iCs/>
          <w:sz w:val="22"/>
          <w:szCs w:val="22"/>
          <w:lang w:val="en-GB"/>
        </w:rPr>
      </w:pPr>
      <w:r>
        <w:rPr>
          <w:i/>
          <w:iCs/>
          <w:sz w:val="22"/>
          <w:szCs w:val="22"/>
          <w:lang w:val="en-GB"/>
        </w:rPr>
        <w:t>Link recovery,</w:t>
      </w:r>
    </w:p>
    <w:p w14:paraId="518ADCDD" w14:textId="094EC4F0" w:rsidR="00981EB4" w:rsidRDefault="00FA4FDB" w:rsidP="00F06431">
      <w:pPr>
        <w:pStyle w:val="ListParagraph"/>
        <w:numPr>
          <w:ilvl w:val="1"/>
          <w:numId w:val="13"/>
        </w:numPr>
        <w:spacing w:after="0"/>
        <w:contextualSpacing w:val="0"/>
        <w:jc w:val="both"/>
        <w:rPr>
          <w:i/>
          <w:iCs/>
          <w:sz w:val="22"/>
          <w:szCs w:val="22"/>
          <w:lang w:val="en-GB"/>
        </w:rPr>
      </w:pPr>
      <w:r>
        <w:rPr>
          <w:i/>
          <w:iCs/>
          <w:sz w:val="22"/>
          <w:szCs w:val="22"/>
          <w:lang w:val="en-GB"/>
        </w:rPr>
        <w:t>L1-RSRP measurement period.</w:t>
      </w:r>
    </w:p>
    <w:p w14:paraId="0DEFAEB7" w14:textId="77777777" w:rsidR="00F06431" w:rsidRPr="00F06431" w:rsidRDefault="00F06431" w:rsidP="00F06431">
      <w:pPr>
        <w:pStyle w:val="ListParagraph"/>
        <w:rPr>
          <w:i/>
          <w:iCs/>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Pr="00E253F1" w:rsidRDefault="00BD2AAF" w:rsidP="0053722F">
      <w:pPr>
        <w:rPr>
          <w:sz w:val="22"/>
          <w:szCs w:val="22"/>
          <w:lang w:eastAsia="x-none"/>
        </w:rPr>
      </w:pPr>
      <w:r w:rsidRPr="00E253F1">
        <w:rPr>
          <w:sz w:val="22"/>
          <w:szCs w:val="22"/>
          <w:lang w:eastAsia="x-none"/>
        </w:rPr>
        <w:t>The following have been proposed in this contribution.</w:t>
      </w:r>
    </w:p>
    <w:p w14:paraId="70E728E8" w14:textId="77777777" w:rsidR="000445B7" w:rsidRPr="00DF4BB9" w:rsidRDefault="000445B7" w:rsidP="006F6903">
      <w:pPr>
        <w:pStyle w:val="ListParagraph"/>
        <w:numPr>
          <w:ilvl w:val="0"/>
          <w:numId w:val="11"/>
        </w:numPr>
        <w:jc w:val="both"/>
        <w:rPr>
          <w:i/>
          <w:iCs/>
          <w:sz w:val="22"/>
          <w:szCs w:val="22"/>
        </w:rPr>
      </w:pPr>
      <w:r w:rsidRPr="00BD5BD2">
        <w:rPr>
          <w:b/>
          <w:bCs/>
          <w:i/>
          <w:iCs/>
          <w:sz w:val="22"/>
          <w:szCs w:val="22"/>
          <w:u w:val="single"/>
          <w:lang w:val="en-GB"/>
        </w:rPr>
        <w:lastRenderedPageBreak/>
        <w:t>Proposal 1</w:t>
      </w:r>
      <w:r>
        <w:rPr>
          <w:b/>
          <w:bCs/>
          <w:i/>
          <w:iCs/>
          <w:sz w:val="22"/>
          <w:szCs w:val="22"/>
          <w:u w:val="single"/>
          <w:lang w:val="en-GB"/>
        </w:rPr>
        <w:t xml:space="preserve"> (Accuracy requirements)</w:t>
      </w:r>
      <w:r w:rsidRPr="00BD5BD2">
        <w:rPr>
          <w:i/>
          <w:iCs/>
          <w:sz w:val="22"/>
          <w:szCs w:val="22"/>
          <w:lang w:val="en-GB"/>
        </w:rPr>
        <w:t>: The legacy accuracy requirements in section 10.1.20</w:t>
      </w:r>
      <w:r>
        <w:rPr>
          <w:i/>
          <w:iCs/>
          <w:sz w:val="22"/>
          <w:szCs w:val="22"/>
          <w:lang w:val="en-GB"/>
        </w:rPr>
        <w:t xml:space="preserve"> of TS 38.133</w:t>
      </w:r>
      <w:r w:rsidRPr="00BD5BD2">
        <w:rPr>
          <w:i/>
          <w:iCs/>
          <w:sz w:val="22"/>
          <w:szCs w:val="22"/>
          <w:lang w:val="en-GB"/>
        </w:rPr>
        <w:t xml:space="preserve"> apply for L1-RSRP measurements under multi-rx operation, with a clarification that multi-rx chain L1-RSRP accuracy requirements apply for FR2-1.</w:t>
      </w:r>
    </w:p>
    <w:p w14:paraId="6F19401E" w14:textId="77777777" w:rsidR="000445B7" w:rsidRPr="00BD5BD2" w:rsidRDefault="000445B7" w:rsidP="006F6903">
      <w:pPr>
        <w:pStyle w:val="ListParagraph"/>
        <w:ind w:left="644"/>
        <w:jc w:val="both"/>
        <w:rPr>
          <w:i/>
          <w:iCs/>
          <w:sz w:val="22"/>
          <w:szCs w:val="22"/>
        </w:rPr>
      </w:pPr>
    </w:p>
    <w:p w14:paraId="36BDB835" w14:textId="77777777" w:rsidR="000445B7" w:rsidRPr="00BD5BD2" w:rsidRDefault="000445B7" w:rsidP="006F6903">
      <w:pPr>
        <w:pStyle w:val="ListParagraph"/>
        <w:numPr>
          <w:ilvl w:val="0"/>
          <w:numId w:val="11"/>
        </w:numPr>
        <w:jc w:val="both"/>
        <w:rPr>
          <w:i/>
          <w:iCs/>
          <w:sz w:val="22"/>
          <w:szCs w:val="22"/>
        </w:rPr>
      </w:pPr>
      <w:r w:rsidRPr="00BD5BD2">
        <w:rPr>
          <w:b/>
          <w:bCs/>
          <w:i/>
          <w:iCs/>
          <w:sz w:val="22"/>
          <w:szCs w:val="22"/>
          <w:u w:val="single"/>
          <w:lang w:val="en-GB"/>
        </w:rPr>
        <w:t>Proposal 2</w:t>
      </w:r>
      <w:r>
        <w:rPr>
          <w:b/>
          <w:bCs/>
          <w:i/>
          <w:iCs/>
          <w:sz w:val="22"/>
          <w:szCs w:val="22"/>
          <w:u w:val="single"/>
          <w:lang w:val="en-GB"/>
        </w:rPr>
        <w:t xml:space="preserve"> (Accuracy requirements)</w:t>
      </w:r>
      <w:r w:rsidRPr="00BD5BD2">
        <w:rPr>
          <w:i/>
          <w:iCs/>
          <w:sz w:val="22"/>
          <w:szCs w:val="22"/>
          <w:lang w:val="en-GB"/>
        </w:rPr>
        <w:t>: No new accuracy requirements section is created for L1-RSRP measurements under multi-rx operation.</w:t>
      </w:r>
    </w:p>
    <w:p w14:paraId="1698BDD8" w14:textId="77777777" w:rsidR="000445B7" w:rsidRPr="000445B7" w:rsidRDefault="000445B7" w:rsidP="000445B7">
      <w:pPr>
        <w:pStyle w:val="ListParagraph"/>
        <w:spacing w:after="0"/>
        <w:ind w:left="714"/>
        <w:contextualSpacing w:val="0"/>
        <w:jc w:val="both"/>
        <w:rPr>
          <w:i/>
          <w:iCs/>
          <w:sz w:val="22"/>
          <w:szCs w:val="22"/>
          <w:lang w:val="en-GB"/>
        </w:rPr>
      </w:pPr>
    </w:p>
    <w:p w14:paraId="1E75DE59" w14:textId="3E49218C" w:rsidR="000445B7" w:rsidRDefault="000445B7" w:rsidP="006F6903">
      <w:pPr>
        <w:pStyle w:val="ListParagraph"/>
        <w:numPr>
          <w:ilvl w:val="0"/>
          <w:numId w:val="13"/>
        </w:numPr>
        <w:spacing w:after="0"/>
        <w:ind w:left="709" w:hanging="425"/>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3</w:t>
      </w:r>
      <w:r w:rsidRPr="00E253F1">
        <w:rPr>
          <w:b/>
          <w:bCs/>
          <w:i/>
          <w:iCs/>
          <w:sz w:val="22"/>
          <w:szCs w:val="22"/>
          <w:u w:val="single"/>
          <w:lang w:val="en-GB"/>
        </w:rPr>
        <w:t xml:space="preserve"> (</w:t>
      </w:r>
      <w:r>
        <w:rPr>
          <w:b/>
          <w:bCs/>
          <w:i/>
          <w:iCs/>
          <w:sz w:val="22"/>
          <w:szCs w:val="22"/>
          <w:u w:val="single"/>
          <w:lang w:val="en-GB"/>
        </w:rPr>
        <w:t xml:space="preserve">RRM </w:t>
      </w:r>
      <w:r w:rsidRPr="00E253F1">
        <w:rPr>
          <w:b/>
          <w:bCs/>
          <w:i/>
          <w:iCs/>
          <w:sz w:val="22"/>
          <w:szCs w:val="22"/>
          <w:u w:val="single"/>
          <w:lang w:val="en-GB"/>
        </w:rPr>
        <w:t>test cases)</w:t>
      </w:r>
      <w:r w:rsidRPr="00E253F1">
        <w:rPr>
          <w:i/>
          <w:iCs/>
          <w:sz w:val="22"/>
          <w:szCs w:val="22"/>
          <w:lang w:val="en-GB"/>
        </w:rPr>
        <w:t>: RAN4 will discuss and strive to agree on a list of RRM test cases for multi-rx chain UE in RAN4#109.</w:t>
      </w:r>
    </w:p>
    <w:p w14:paraId="2ADFB32E" w14:textId="77777777" w:rsidR="000445B7" w:rsidRDefault="000445B7" w:rsidP="006F6903">
      <w:pPr>
        <w:pStyle w:val="ListParagraph"/>
        <w:spacing w:after="0"/>
        <w:ind w:left="709" w:hanging="425"/>
        <w:contextualSpacing w:val="0"/>
        <w:jc w:val="both"/>
        <w:rPr>
          <w:i/>
          <w:iCs/>
          <w:sz w:val="22"/>
          <w:szCs w:val="22"/>
          <w:lang w:val="en-GB"/>
        </w:rPr>
      </w:pPr>
    </w:p>
    <w:p w14:paraId="62E9C40D" w14:textId="77777777" w:rsidR="000445B7" w:rsidRDefault="000445B7" w:rsidP="006F6903">
      <w:pPr>
        <w:pStyle w:val="ListParagraph"/>
        <w:numPr>
          <w:ilvl w:val="0"/>
          <w:numId w:val="13"/>
        </w:numPr>
        <w:spacing w:after="0"/>
        <w:ind w:left="709" w:hanging="425"/>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4</w:t>
      </w:r>
      <w:r w:rsidRPr="00E253F1">
        <w:rPr>
          <w:b/>
          <w:bCs/>
          <w:i/>
          <w:iCs/>
          <w:sz w:val="22"/>
          <w:szCs w:val="22"/>
          <w:u w:val="single"/>
          <w:lang w:val="en-GB"/>
        </w:rPr>
        <w:t xml:space="preserve"> (</w:t>
      </w:r>
      <w:r>
        <w:rPr>
          <w:b/>
          <w:bCs/>
          <w:i/>
          <w:iCs/>
          <w:sz w:val="22"/>
          <w:szCs w:val="22"/>
          <w:u w:val="single"/>
          <w:lang w:val="en-GB"/>
        </w:rPr>
        <w:t xml:space="preserve">RRM </w:t>
      </w:r>
      <w:r w:rsidRPr="00E253F1">
        <w:rPr>
          <w:b/>
          <w:bCs/>
          <w:i/>
          <w:iCs/>
          <w:sz w:val="22"/>
          <w:szCs w:val="22"/>
          <w:u w:val="single"/>
          <w:lang w:val="en-GB"/>
        </w:rPr>
        <w:t>test cases)</w:t>
      </w:r>
      <w:r w:rsidRPr="00E253F1">
        <w:rPr>
          <w:i/>
          <w:iCs/>
          <w:sz w:val="22"/>
          <w:szCs w:val="22"/>
          <w:lang w:val="en-GB"/>
        </w:rPr>
        <w:t xml:space="preserve">: </w:t>
      </w:r>
      <w:r>
        <w:rPr>
          <w:i/>
          <w:iCs/>
          <w:sz w:val="22"/>
          <w:szCs w:val="22"/>
          <w:lang w:val="en-GB"/>
        </w:rPr>
        <w:t>At high-level, the list of test cases shall include at least test cases for:</w:t>
      </w:r>
    </w:p>
    <w:p w14:paraId="3D13067B" w14:textId="77777777" w:rsidR="000445B7" w:rsidRDefault="000445B7" w:rsidP="000445B7">
      <w:pPr>
        <w:pStyle w:val="ListParagraph"/>
        <w:numPr>
          <w:ilvl w:val="1"/>
          <w:numId w:val="13"/>
        </w:numPr>
        <w:spacing w:after="0"/>
        <w:contextualSpacing w:val="0"/>
        <w:jc w:val="both"/>
        <w:rPr>
          <w:i/>
          <w:iCs/>
          <w:sz w:val="22"/>
          <w:szCs w:val="22"/>
          <w:lang w:val="en-GB"/>
        </w:rPr>
      </w:pPr>
      <w:r>
        <w:rPr>
          <w:i/>
          <w:iCs/>
          <w:sz w:val="22"/>
          <w:szCs w:val="22"/>
          <w:lang w:val="en-GB"/>
        </w:rPr>
        <w:t>Dual active TCI state switching,</w:t>
      </w:r>
    </w:p>
    <w:p w14:paraId="1DEC7BC5" w14:textId="77777777" w:rsidR="000445B7" w:rsidRDefault="000445B7" w:rsidP="000445B7">
      <w:pPr>
        <w:pStyle w:val="ListParagraph"/>
        <w:numPr>
          <w:ilvl w:val="1"/>
          <w:numId w:val="13"/>
        </w:numPr>
        <w:spacing w:after="0"/>
        <w:contextualSpacing w:val="0"/>
        <w:jc w:val="both"/>
        <w:rPr>
          <w:i/>
          <w:iCs/>
          <w:sz w:val="22"/>
          <w:szCs w:val="22"/>
          <w:lang w:val="en-GB"/>
        </w:rPr>
      </w:pPr>
      <w:r>
        <w:rPr>
          <w:i/>
          <w:iCs/>
          <w:sz w:val="22"/>
          <w:szCs w:val="22"/>
          <w:lang w:val="en-GB"/>
        </w:rPr>
        <w:t>RLM,</w:t>
      </w:r>
    </w:p>
    <w:p w14:paraId="2FF5D115" w14:textId="0DBFF35D" w:rsidR="009F0655" w:rsidRDefault="009F0655" w:rsidP="009F0655">
      <w:pPr>
        <w:pStyle w:val="ListParagraph"/>
        <w:numPr>
          <w:ilvl w:val="1"/>
          <w:numId w:val="13"/>
        </w:numPr>
        <w:spacing w:after="0"/>
        <w:contextualSpacing w:val="0"/>
        <w:jc w:val="both"/>
        <w:rPr>
          <w:i/>
          <w:iCs/>
          <w:sz w:val="22"/>
          <w:szCs w:val="22"/>
          <w:lang w:val="en-GB"/>
        </w:rPr>
      </w:pPr>
      <w:r>
        <w:rPr>
          <w:i/>
          <w:iCs/>
          <w:sz w:val="22"/>
          <w:szCs w:val="22"/>
          <w:lang w:val="en-GB"/>
        </w:rPr>
        <w:t>Link recovery</w:t>
      </w:r>
      <w:r>
        <w:rPr>
          <w:i/>
          <w:iCs/>
          <w:sz w:val="22"/>
          <w:szCs w:val="22"/>
          <w:lang w:val="en-GB"/>
        </w:rPr>
        <w:t>,</w:t>
      </w:r>
    </w:p>
    <w:p w14:paraId="220396C9" w14:textId="583B4109" w:rsidR="00C4674F" w:rsidRPr="006F6903" w:rsidRDefault="000445B7" w:rsidP="000445B7">
      <w:pPr>
        <w:pStyle w:val="ListParagraph"/>
        <w:numPr>
          <w:ilvl w:val="1"/>
          <w:numId w:val="13"/>
        </w:numPr>
        <w:spacing w:after="0"/>
        <w:contextualSpacing w:val="0"/>
        <w:jc w:val="both"/>
        <w:rPr>
          <w:i/>
          <w:iCs/>
          <w:sz w:val="22"/>
          <w:szCs w:val="22"/>
          <w:lang w:val="en-GB"/>
        </w:rPr>
      </w:pPr>
      <w:r>
        <w:rPr>
          <w:i/>
          <w:iCs/>
          <w:sz w:val="22"/>
          <w:szCs w:val="22"/>
          <w:lang w:val="en-GB"/>
        </w:rPr>
        <w:t>L1-RSRP measurement period.</w:t>
      </w: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77777777" w:rsidR="00196337" w:rsidRPr="001E53B7" w:rsidRDefault="00196337" w:rsidP="00196337">
      <w:pPr>
        <w:rPr>
          <w:lang w:eastAsia="x-none"/>
        </w:rPr>
      </w:pPr>
      <w:r w:rsidRPr="001E53B7">
        <w:rPr>
          <w:lang w:eastAsia="x-none"/>
        </w:rPr>
        <w:t>[2] R4-2214344, WF on FR2 multi-Rx RRM, vivo, Aug. 2022.</w:t>
      </w:r>
      <w:bookmarkStart w:id="2" w:name="_Ref508638450"/>
      <w:bookmarkStart w:id="3" w:name="_Ref3386619"/>
    </w:p>
    <w:bookmarkEnd w:id="2"/>
    <w:bookmarkEnd w:id="3"/>
    <w:p w14:paraId="4B591207" w14:textId="77777777" w:rsidR="00196337" w:rsidRPr="001E53B7" w:rsidRDefault="00196337" w:rsidP="00196337">
      <w:pPr>
        <w:rPr>
          <w:lang w:eastAsia="x-none"/>
        </w:rPr>
      </w:pPr>
      <w:r w:rsidRPr="001E53B7">
        <w:rPr>
          <w:lang w:eastAsia="x-none"/>
        </w:rPr>
        <w:t>[3] R4-2217246, WF on RRM impacts and general aspects for multi-Rx, vivo, Oct. 2022.</w:t>
      </w:r>
    </w:p>
    <w:p w14:paraId="33156F72" w14:textId="77777777" w:rsidR="00196337" w:rsidRPr="001E53B7" w:rsidRDefault="00196337" w:rsidP="00196337">
      <w:pPr>
        <w:rPr>
          <w:lang w:eastAsia="x-none"/>
        </w:rPr>
      </w:pPr>
      <w:r w:rsidRPr="001E53B7">
        <w:rPr>
          <w:lang w:eastAsia="x-none"/>
        </w:rPr>
        <w:t>[4] R4-2217587, WF on L1 measurements, beam sweeping factors and simultaneous reception, Qualcomm, Oct. 2022.</w:t>
      </w:r>
    </w:p>
    <w:p w14:paraId="586142ED" w14:textId="77777777" w:rsidR="00196337" w:rsidRPr="00CB4FC7" w:rsidRDefault="00196337" w:rsidP="00196337">
      <w:pPr>
        <w:rPr>
          <w:lang w:eastAsia="x-none"/>
        </w:rPr>
      </w:pPr>
      <w:r w:rsidRPr="001E53B7">
        <w:rPr>
          <w:lang w:eastAsia="x-none"/>
        </w:rPr>
        <w:t>[5] R4-2217248, WF on TCI state switching for multi-RX chain DL reception</w:t>
      </w:r>
      <w:r w:rsidRPr="00CB4FC7">
        <w:rPr>
          <w:lang w:eastAsia="x-none"/>
        </w:rPr>
        <w:t>, Ericsson, Oct. 2022.</w:t>
      </w:r>
    </w:p>
    <w:p w14:paraId="26516820" w14:textId="77777777" w:rsidR="00196337" w:rsidRPr="00CB4FC7" w:rsidRDefault="00196337" w:rsidP="00196337">
      <w:pPr>
        <w:rPr>
          <w:lang w:eastAsia="x-none"/>
        </w:rPr>
      </w:pPr>
      <w:r w:rsidRPr="00CB4FC7">
        <w:rPr>
          <w:lang w:eastAsia="x-none"/>
        </w:rPr>
        <w:t>[6] R4-2220742, WF on NR FR2 multi-Rx chain DL reception – Part 1, Nov. 2022.</w:t>
      </w:r>
    </w:p>
    <w:p w14:paraId="1C1447ED" w14:textId="77777777" w:rsidR="00196337" w:rsidRPr="00CB4FC7" w:rsidRDefault="00196337" w:rsidP="00196337">
      <w:pPr>
        <w:rPr>
          <w:lang w:eastAsia="x-none"/>
        </w:rPr>
      </w:pPr>
      <w:r w:rsidRPr="00CB4FC7">
        <w:rPr>
          <w:lang w:eastAsia="x-none"/>
        </w:rPr>
        <w:t>[7] R4-2220743, WF on NR FR2 multi-Rx chain DL reception – Part 2, Nov. 2022.</w:t>
      </w:r>
    </w:p>
    <w:p w14:paraId="511820B2" w14:textId="77777777" w:rsidR="00196337" w:rsidRPr="00CB4FC7" w:rsidRDefault="00196337" w:rsidP="00196337">
      <w:pPr>
        <w:rPr>
          <w:lang w:eastAsia="x-none"/>
        </w:rPr>
      </w:pPr>
      <w:r w:rsidRPr="00CB4FC7">
        <w:rPr>
          <w:lang w:eastAsia="x-none"/>
        </w:rPr>
        <w:t>[8] R4-2220402, WF on NR FR2 multi-Rx chain DL reception – Part 3, Nov. 2022.</w:t>
      </w:r>
    </w:p>
    <w:p w14:paraId="25AB1F16" w14:textId="77777777" w:rsidR="00196337" w:rsidRPr="00CB4FC7" w:rsidRDefault="00196337" w:rsidP="00196337">
      <w:pPr>
        <w:rPr>
          <w:lang w:eastAsia="x-none"/>
        </w:rPr>
      </w:pPr>
      <w:r w:rsidRPr="00CB4FC7">
        <w:rPr>
          <w:lang w:eastAsia="x-none"/>
        </w:rPr>
        <w:t>[9] R4-2303193, Ad-hoc minutes for NR FR2 multi-Rx chain DL reception RRM, vivo, March 2023.</w:t>
      </w:r>
    </w:p>
    <w:p w14:paraId="30D46157" w14:textId="77777777" w:rsidR="00196337" w:rsidRPr="00CB4FC7" w:rsidRDefault="00196337" w:rsidP="00196337">
      <w:pPr>
        <w:rPr>
          <w:lang w:eastAsia="x-none"/>
        </w:rPr>
      </w:pPr>
      <w:r w:rsidRPr="00CB4FC7">
        <w:rPr>
          <w:lang w:eastAsia="x-none"/>
        </w:rPr>
        <w:t>[10] R4-2303302, WF on NR FR2 multi-Rx chain DL reception RRM requirements (part 1), vivo, March 2023.</w:t>
      </w:r>
    </w:p>
    <w:p w14:paraId="5EA711FB" w14:textId="77777777" w:rsidR="00196337" w:rsidRPr="00CB4FC7" w:rsidRDefault="00196337" w:rsidP="00196337">
      <w:pPr>
        <w:rPr>
          <w:lang w:eastAsia="x-none"/>
        </w:rPr>
      </w:pPr>
      <w:r w:rsidRPr="00CB4FC7">
        <w:rPr>
          <w:lang w:eastAsia="x-none"/>
        </w:rPr>
        <w:t>[11] R4-2303317, WF on NR FR2 multi-Rx chain DL reception RRM requirements(part2), Qualcomm, March 2023.</w:t>
      </w:r>
    </w:p>
    <w:p w14:paraId="4A69C00C" w14:textId="77777777" w:rsidR="00196337" w:rsidRPr="00CB4FC7" w:rsidRDefault="00196337" w:rsidP="00196337">
      <w:pPr>
        <w:rPr>
          <w:lang w:eastAsia="x-none"/>
        </w:rPr>
      </w:pPr>
      <w:r w:rsidRPr="00CB4FC7">
        <w:rPr>
          <w:lang w:eastAsia="x-none"/>
        </w:rPr>
        <w:t>[12] R4-2306318, WF on NR FR2 multi-Rx chain DL reception RRM requirements (part 1), vivo, Apr. 2023.</w:t>
      </w:r>
    </w:p>
    <w:p w14:paraId="55F95B7C" w14:textId="77777777" w:rsidR="00196337" w:rsidRPr="00CB4FC7" w:rsidRDefault="00196337" w:rsidP="00196337">
      <w:pPr>
        <w:rPr>
          <w:lang w:eastAsia="x-none"/>
        </w:rPr>
      </w:pPr>
      <w:r w:rsidRPr="00CB4FC7">
        <w:rPr>
          <w:lang w:eastAsia="x-none"/>
        </w:rPr>
        <w:t>[13] R4- 2306319, WF on FR2_multiRx_part2, Ericsson, Apr. 2023.</w:t>
      </w:r>
    </w:p>
    <w:p w14:paraId="5A3776B1" w14:textId="77777777" w:rsidR="00196337" w:rsidRPr="00CB4FC7" w:rsidRDefault="00196337" w:rsidP="00196337">
      <w:pPr>
        <w:rPr>
          <w:lang w:eastAsia="x-none"/>
        </w:rPr>
      </w:pPr>
      <w:r w:rsidRPr="00CB4FC7">
        <w:rPr>
          <w:lang w:eastAsia="x-none"/>
        </w:rPr>
        <w:t>[14] R4-2306392, Topic summary for [106bis-e][202] FR2_multiRx_part1, vivo, Apr. 2023.</w:t>
      </w:r>
    </w:p>
    <w:p w14:paraId="1CD14B8E" w14:textId="77777777" w:rsidR="00196337" w:rsidRPr="00CB4FC7" w:rsidRDefault="00196337" w:rsidP="00196337">
      <w:pPr>
        <w:rPr>
          <w:lang w:eastAsia="x-none"/>
        </w:rPr>
      </w:pPr>
      <w:r w:rsidRPr="00CB4FC7">
        <w:rPr>
          <w:lang w:eastAsia="x-none"/>
        </w:rPr>
        <w:t>[15] R4-2306234, Topic summary for [106bis-e][203] FR2_multiRx_part2, Ericsson, Apr. 2023.</w:t>
      </w:r>
    </w:p>
    <w:p w14:paraId="244C459A" w14:textId="77777777" w:rsidR="00196337" w:rsidRPr="00CB4FC7" w:rsidRDefault="00196337" w:rsidP="00196337">
      <w:pPr>
        <w:rPr>
          <w:lang w:eastAsia="x-none"/>
        </w:rPr>
      </w:pPr>
      <w:r w:rsidRPr="00CB4FC7">
        <w:rPr>
          <w:lang w:eastAsia="x-none"/>
        </w:rPr>
        <w:t>[16] R4-2310046, WF on NR FR2 multi-Rx chain DL reception RRM requirements (part 1), vivo, May 2023.</w:t>
      </w:r>
    </w:p>
    <w:p w14:paraId="1D16F592" w14:textId="77777777" w:rsidR="00196337" w:rsidRPr="00CB4FC7" w:rsidRDefault="00196337" w:rsidP="00196337">
      <w:pPr>
        <w:rPr>
          <w:lang w:eastAsia="x-none"/>
        </w:rPr>
      </w:pPr>
      <w:r w:rsidRPr="00CB4FC7">
        <w:rPr>
          <w:lang w:eastAsia="x-none"/>
        </w:rPr>
        <w:t>[17] R4-2310047, WF on FR2_multiRx_part2, Ericsson, May 2023.</w:t>
      </w:r>
    </w:p>
    <w:p w14:paraId="14D7A69A" w14:textId="77777777" w:rsidR="00196337" w:rsidRPr="00CB4FC7" w:rsidRDefault="00196337" w:rsidP="00196337">
      <w:pPr>
        <w:rPr>
          <w:lang w:eastAsia="x-none"/>
        </w:rPr>
      </w:pPr>
      <w:r w:rsidRPr="00CB4FC7">
        <w:rPr>
          <w:lang w:eastAsia="x-none"/>
        </w:rPr>
        <w:t>[18] R4-2309952, Topic summary for [106][209] FR2_multiRx _part1, vivo, May 2023.</w:t>
      </w:r>
    </w:p>
    <w:p w14:paraId="301F1D24" w14:textId="77777777" w:rsidR="00196337" w:rsidRPr="00CB4FC7" w:rsidRDefault="00196337" w:rsidP="00196337">
      <w:pPr>
        <w:rPr>
          <w:lang w:eastAsia="x-none"/>
        </w:rPr>
      </w:pPr>
      <w:r w:rsidRPr="00CB4FC7">
        <w:rPr>
          <w:lang w:eastAsia="x-none"/>
        </w:rPr>
        <w:t>[19] R4-2309953, Topic summary for [107][208] FR2_multiRx_part2, Ericsson, May 2023.</w:t>
      </w:r>
    </w:p>
    <w:p w14:paraId="54624ED4" w14:textId="77777777" w:rsidR="0077711E" w:rsidRDefault="0077711E" w:rsidP="0077711E">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5A7707BC" w14:textId="77777777" w:rsidR="0077711E" w:rsidRDefault="0077711E" w:rsidP="0077711E">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6"/>
  </w:num>
  <w:num w:numId="3" w16cid:durableId="11735331">
    <w:abstractNumId w:val="23"/>
  </w:num>
  <w:num w:numId="4" w16cid:durableId="1102259893">
    <w:abstractNumId w:val="14"/>
  </w:num>
  <w:num w:numId="5" w16cid:durableId="530342860">
    <w:abstractNumId w:val="16"/>
  </w:num>
  <w:num w:numId="6" w16cid:durableId="2130512404">
    <w:abstractNumId w:val="2"/>
  </w:num>
  <w:num w:numId="7" w16cid:durableId="272589911">
    <w:abstractNumId w:val="1"/>
  </w:num>
  <w:num w:numId="8" w16cid:durableId="1396777579">
    <w:abstractNumId w:val="27"/>
  </w:num>
  <w:num w:numId="9" w16cid:durableId="1238323227">
    <w:abstractNumId w:val="7"/>
  </w:num>
  <w:num w:numId="10" w16cid:durableId="1688098728">
    <w:abstractNumId w:val="11"/>
  </w:num>
  <w:num w:numId="11" w16cid:durableId="529805917">
    <w:abstractNumId w:val="19"/>
  </w:num>
  <w:num w:numId="12" w16cid:durableId="1047802701">
    <w:abstractNumId w:val="12"/>
  </w:num>
  <w:num w:numId="13" w16cid:durableId="1130321655">
    <w:abstractNumId w:val="18"/>
  </w:num>
  <w:num w:numId="14" w16cid:durableId="133956298">
    <w:abstractNumId w:val="0"/>
  </w:num>
  <w:num w:numId="15" w16cid:durableId="916130071">
    <w:abstractNumId w:val="4"/>
  </w:num>
  <w:num w:numId="16" w16cid:durableId="1108234828">
    <w:abstractNumId w:val="21"/>
  </w:num>
  <w:num w:numId="17" w16cid:durableId="912545947">
    <w:abstractNumId w:val="25"/>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5"/>
  </w:num>
  <w:num w:numId="23" w16cid:durableId="1463576606">
    <w:abstractNumId w:val="22"/>
  </w:num>
  <w:num w:numId="24" w16cid:durableId="169374146">
    <w:abstractNumId w:val="8"/>
  </w:num>
  <w:num w:numId="25" w16cid:durableId="1318074337">
    <w:abstractNumId w:val="17"/>
  </w:num>
  <w:num w:numId="26" w16cid:durableId="579027140">
    <w:abstractNumId w:val="24"/>
  </w:num>
  <w:num w:numId="27" w16cid:durableId="1096752934">
    <w:abstractNumId w:val="10"/>
  </w:num>
  <w:num w:numId="28" w16cid:durableId="110356860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9FB"/>
    <w:rsid w:val="001C5C88"/>
    <w:rsid w:val="001C6276"/>
    <w:rsid w:val="001C6301"/>
    <w:rsid w:val="001C6BF8"/>
    <w:rsid w:val="001C6ED8"/>
    <w:rsid w:val="001C7171"/>
    <w:rsid w:val="001C7380"/>
    <w:rsid w:val="001C788A"/>
    <w:rsid w:val="001C7F4B"/>
    <w:rsid w:val="001D042F"/>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6BC"/>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purl.org/dc/terms/"/>
    <ds:schemaRef ds:uri="http://purl.org/dc/dcmitype/"/>
    <ds:schemaRef ds:uri="http://schemas.microsoft.com/office/2006/metadata/properties"/>
    <ds:schemaRef ds:uri="http://schemas.microsoft.com/office/2006/documentManagement/types"/>
    <ds:schemaRef ds:uri="http://schemas.microsoft.com/sharepoint/v3"/>
    <ds:schemaRef ds:uri="http://purl.org/dc/elements/1.1/"/>
    <ds:schemaRef ds:uri="2f282d3b-eb4a-4b09-b61f-b9593442e286"/>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7489</TotalTime>
  <Pages>2</Pages>
  <Words>695</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1365</cp:revision>
  <cp:lastPrinted>2022-09-30T11:23:00Z</cp:lastPrinted>
  <dcterms:created xsi:type="dcterms:W3CDTF">2022-08-12T14:20:00Z</dcterms:created>
  <dcterms:modified xsi:type="dcterms:W3CDTF">2023-09-27T14:29:00Z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